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黑体" w:cs="Times New Roman"/>
          <w:sz w:val="44"/>
          <w:szCs w:val="44"/>
          <w:lang w:eastAsia="zh-CN"/>
        </w:rPr>
        <w:t>三河市</w:t>
      </w:r>
      <w:r>
        <w:rPr>
          <w:rFonts w:hint="eastAsia" w:ascii="Times New Roman" w:hAnsi="Times New Roman" w:eastAsia="黑体" w:cs="Times New Roman"/>
          <w:sz w:val="44"/>
          <w:szCs w:val="44"/>
          <w:lang w:val="en-US" w:eastAsia="zh-CN"/>
        </w:rPr>
        <w:t>皇庄镇</w:t>
      </w:r>
      <w:r>
        <w:rPr>
          <w:rFonts w:ascii="Times New Roman" w:hAnsi="Times New Roman" w:eastAsia="黑体" w:cs="Times New Roman"/>
          <w:sz w:val="44"/>
          <w:szCs w:val="44"/>
        </w:rPr>
        <w:t>20</w:t>
      </w:r>
      <w:r>
        <w:rPr>
          <w:rFonts w:hint="eastAsia" w:ascii="Times New Roman" w:hAnsi="Times New Roman" w:eastAsia="黑体" w:cs="Times New Roman"/>
          <w:sz w:val="44"/>
          <w:szCs w:val="44"/>
        </w:rPr>
        <w:t>2</w:t>
      </w:r>
      <w:r>
        <w:rPr>
          <w:rFonts w:ascii="Times New Roman" w:hAnsi="Times New Roman" w:eastAsia="黑体" w:cs="Times New Roman"/>
          <w:sz w:val="44"/>
          <w:szCs w:val="44"/>
        </w:rPr>
        <w:t>2年</w:t>
      </w:r>
      <w:r>
        <w:rPr>
          <w:rFonts w:hint="eastAsia" w:ascii="Times New Roman" w:hAnsi="Times New Roman" w:eastAsia="黑体" w:cs="Times New Roman"/>
          <w:sz w:val="44"/>
          <w:szCs w:val="44"/>
          <w:lang w:eastAsia="zh-CN"/>
        </w:rPr>
        <w:t>单位</w:t>
      </w:r>
      <w:r>
        <w:rPr>
          <w:rFonts w:ascii="Times New Roman" w:hAnsi="Times New Roman" w:eastAsia="黑体" w:cs="Times New Roman"/>
          <w:sz w:val="44"/>
          <w:szCs w:val="44"/>
        </w:rPr>
        <w:t>预算信息公开</w:t>
      </w:r>
      <w:r>
        <w:rPr>
          <w:rFonts w:hint="eastAsia" w:ascii="Times New Roman" w:hAnsi="Times New Roman" w:eastAsia="黑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0"/>
        <w:rPr>
          <w:rFonts w:hint="eastAsia" w:ascii="楷体" w:hAnsi="楷体" w:eastAsia="楷体" w:cs="楷体"/>
          <w:b/>
          <w:bCs/>
          <w:sz w:val="32"/>
          <w:szCs w:val="32"/>
        </w:rPr>
      </w:pPr>
      <w:r>
        <w:rPr>
          <w:rFonts w:hint="eastAsia" w:ascii="楷体" w:hAnsi="楷体" w:eastAsia="楷体" w:cs="楷体"/>
          <w:b/>
          <w:bCs/>
          <w:sz w:val="32"/>
          <w:szCs w:val="32"/>
          <w:lang w:eastAsia="zh-CN"/>
        </w:rPr>
        <w:t>单位</w:t>
      </w:r>
      <w:r>
        <w:rPr>
          <w:rFonts w:hint="eastAsia" w:ascii="楷体" w:hAnsi="楷体" w:eastAsia="楷体" w:cs="楷体"/>
          <w:b/>
          <w:bCs/>
          <w:sz w:val="32"/>
          <w:szCs w:val="32"/>
        </w:rPr>
        <w:t>职责：</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rPr>
        <w:t>党政综合办公室(财政所)</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负责镇各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二</w:t>
      </w:r>
      <w:r>
        <w:rPr>
          <w:rFonts w:hint="eastAsia" w:ascii="Times New Roman" w:hAnsi="Times New Roman" w:eastAsia="仿宋_GB2312" w:cs="Times New Roman"/>
          <w:b/>
          <w:bCs/>
          <w:sz w:val="32"/>
          <w:szCs w:val="32"/>
          <w:lang w:eastAsia="zh-CN"/>
        </w:rPr>
        <w:t>）党建工作办公室(人大主席团办公室)</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按权限负责村民委员会的设立、撤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三</w:t>
      </w:r>
      <w:r>
        <w:rPr>
          <w:rFonts w:hint="eastAsia" w:ascii="Times New Roman" w:hAnsi="Times New Roman" w:eastAsia="仿宋_GB2312" w:cs="Times New Roman"/>
          <w:b/>
          <w:bCs/>
          <w:sz w:val="32"/>
          <w:szCs w:val="32"/>
          <w:lang w:eastAsia="zh-CN"/>
        </w:rPr>
        <w:t>）应急管理办公室</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惠排查、信息报告、协助执法和宣传教育等工作，做好本行政区域内小作坊、小餐饮、小摊点的监督管理工作;加强本辖区生产经营单位安全生产状况的监督检查，协助上级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依法履行安全生产监督管理职责。</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四</w:t>
      </w:r>
      <w:r>
        <w:rPr>
          <w:rFonts w:hint="eastAsia" w:ascii="Times New Roman" w:hAnsi="Times New Roman" w:eastAsia="仿宋_GB2312" w:cs="Times New Roman"/>
          <w:b/>
          <w:bCs/>
          <w:sz w:val="32"/>
          <w:szCs w:val="32"/>
          <w:lang w:eastAsia="zh-CN"/>
        </w:rPr>
        <w:t>）自然资源和生态环境办公室</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做好地下水相关管理和监督工作;协助上级人民政府有关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五</w:t>
      </w:r>
      <w:r>
        <w:rPr>
          <w:rFonts w:hint="eastAsia" w:ascii="Times New Roman" w:hAnsi="Times New Roman" w:eastAsia="仿宋_GB2312" w:cs="Times New Roman"/>
          <w:b/>
          <w:bCs/>
          <w:sz w:val="32"/>
          <w:szCs w:val="32"/>
          <w:lang w:eastAsia="zh-CN"/>
        </w:rPr>
        <w:t>）综合行政执法队(综合指挥和信息化网络中心、社会治安综合治理中心)</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根据法律法规和省政府授权，承担综合行政执法工作;协助有关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镇现有行政处罚事项:城乡建设类(负责对农村居民未经批准或者违反规划规定建住宅的处罚;负责对损坏村庄和集镇的房屋、公共设施，破坏村容镇貌和环境卫生的处罚;负责对擅自在村庄、集镇规划区内的街道、广场、市场和车站等场所修建临时建筑物、构筑物和其他设施的处罚)。</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2.承接市直相关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向镇赋权下放行政处罚事项: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城乡建设类(负责对在人口集中地区和其他依法需要特殊保护的区域内焚烧沥青、油毡、橡胶、塑料、皮革、垃圾以及其他产生有毒有害烟尘和恶臭气体的物质的处罚;负责对在人口集中地区对树木、花草喷洒剧毒、高毒农药，或者露天焚烧秸秆、落叶等产生烟尘污染的物质的处罚;对在城市人民政府禁止的时段和区域内燃放烟花爆竹的处罚;负责对未经批准进行临时建设的，未按照批准内容进行临时建设的，临时建筑物、构筑物超过批准期限不自行拆除的处罚;负责对栽培、整修或其他作业遗留的渣土、枝叶等杂物,管理单位或个人不及时清除,责令清除逾期未清除的处罚;负责对在城市建筑物、构筑物、地面和其他设施以及树木上涂写、刻画、喷涂或者粘贴小广告等影响市容的处罚;负责对在道路及其他公共场所吊挂、晾晒物品，责令改正拒不改正的处罚;对未经批准(或期满后未及时撤除)设置悬挂物、充气装置、实物造型等载体广告的或审批期满后未及时撤除，或者不及时整修、清洗、更换影响市容的户外广告牌或不予加固、拆除有安全隐患的广告牌、招牌，责令改正拒不改正的处罚;负责对未经市容和环境卫生行政主管</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同意，擅自设置大型户外广告的处罚;负责对未经批准(或未按规定的期限和地点)张贴、张挂宣传品，责令改正拒不改正的处罚;负责对未经批准，擅自在城市道路两侧和公共场地堆放物料，责令改正拒不改正的处罚;负责对擅自在城市道路两侧和公共场地摆设摊点，或者未按批准的时间、地点和范围从事有关经营活动，拒不停止经营的处罚;负责对违反施工现场作业规范行为的处罚;负责对不按照规定清理垃圾、粪便、积雪的处罚;对从事车辆清洗、维修经营活动，未在室内进行，占用道路、绿地、公共场所等的处罚;负责对影响环境卫生行为的处罚;对占用、损毁环境卫生设施的;负责对擅自拆除、迁移、改建、停用环卫设施和改变环卫设施用途的处罚;负责对违反规定实施影响城市照明设施正常运行的行为的处罚;负责对将建筑垃圾混入生活垃圾的，将危险废物混入建筑垃圾的，擅自设立弃置场接纳建筑垃圾的处罚;负责对单位和个人随意倾倒、抛撒或者堆放建筑垃圾的处罚;负责对未经批准擅自关闭、闲置或者拆除城市生活垃圾处置设施、场所的处罚;负责对随意倾倒、抛洒、堆放城市生活垃圾的处罚;负责对从事城市生活垃圾经营性清扫、收集、运输的企业不履行义务的处罚;负责对在树木上设置广告牌、标语牌或者牵拉绳索、架设电线的;在绿地内放养牲畜、家禽的;盗窃、毁坏树木花草及擅自采摘花果枝叶，践踏植被的;盗窃、损毁园林设施的;在绿地内擅自搭棚建屋、停放车辆，以及硬化和圈占小区绿地的处罚;负贵对擅自砍伐或者移植城市树木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文化市场类(负责对违反广播电视设施保护规定行为的处罚);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农业农村类(负责对非法转让宅基地或者非法转让土地建设住宅的行为的处罚);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安全生产类(负责对未按规定设置机构或者配备人员，主要负责人和安全管理人员未经考试合格、未按规定培训教育、未按规定制定预案或演练、特种作业人员未经培训并取得资格上岗作业的处罚;对违规发包、出租的处罚;负责对未签订安全生产管理协议或者未指定专职安全生产管理人员进行安全检查与协调的处罚;负责对“二合一”或距离不符合安全要求、生产经营场所和员工宿舍出口不符合要求的处罚;负责对订立免除或减轻责任协议的处罚;负责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民族事务类(负责对未按照要求生产、经营清真食品的处罚);</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生态环境类(负责对农业经营主体因未妥善采取综合利用措施，对农产品采收后的秸秆及树叶、荒草予以处理，致使露天焚烧的处罚)。</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接统战部委托镇的行政处罚事项:宗教管理类(协助对临时活动地点的活动违反相关规定的处罚;协助对为违法宗教活动提供条件的处罚;协助对大型宗教活动过程中发生危害国家安全、公共安全或者严重破坏社会秩序情况的处罚;协助对擅自举行大型宗教活动的处罚;协助对非宗教团体、非宗教院校、非宗教活动场所、非指定的临时活动地点组织、举行宗教活动，接受</w:t>
      </w:r>
      <w:r>
        <w:rPr>
          <w:rFonts w:hint="eastAsia" w:ascii="Times New Roman" w:hAnsi="Times New Roman" w:eastAsia="仿宋_GB2312" w:cs="Times New Roman"/>
          <w:sz w:val="32"/>
          <w:szCs w:val="32"/>
          <w:lang w:eastAsia="zh-CN"/>
        </w:rPr>
        <w:t>宗</w:t>
      </w:r>
      <w:r>
        <w:rPr>
          <w:rFonts w:hint="eastAsia" w:ascii="Times New Roman" w:hAnsi="Times New Roman" w:eastAsia="仿宋_GB2312" w:cs="Times New Roman"/>
          <w:sz w:val="32"/>
          <w:szCs w:val="32"/>
        </w:rPr>
        <w:t>教性捐赠的处罚;协助对在宗教院校以外的学校及其他教育机构传教、举行宗教活动、成立宗教组织、设立宗教活动场所的处罚;协助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协助对假冒宗教教职人员进行宗教活动或者骗取钱财等违法活动的处罚)。</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(六)行政综合服务中心</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根据法律法规和省政府授权，承担行政审批服务工作:</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镇现有可直接办结事项:1城乡建设类(负责在村庄、集镇规划区内的街道、广场、市场和车站等场所修建临时建筑物、构筑物和其他设施批准;负责农村村民住宅用地审核批准(不含占用农用地);负责承包期内需调整承包地批准;负责对农民集体所有的土地由本集体经济组织以外的单位或者个人承包经营批准;负责业主委员会备案;负责已登记公布的蓄滞洪区内居民的承包土地、住房或者其他财产发生变更核实登记;负责蓄滞洪区内居民补偿金确定与补偿凭证申请办理);2卫生健康类(负责第一个子女、第二个子女生育登记;负责群众购买毒性中药证明出具;负责婚育证明办理;负责独生子女父母光荣证补办);3民生保障类(负责适龄儿童、少年因身体状况需要延缓入学或者休学批准;负责企业用工备案;负责经济状况证明出具)。</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2.协助市直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做好审核转报事项</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3.承接市直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赋权下放事项:1城乡建设类(负责乡村建设规划许可证核发);2卫生健康类(负责乡村兽医登记许可;负责乡村医生执业注册;负责执业医师申请个体行医审批协助再生育审批);3民生保障类(负责拖拉机、联合收割机操作人员操作证件核发、续展、注销)。</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4.协助市直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向镇延伸受理环节或进驻办理事项。</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做好镇基本公共服务事项:负责退役军人信息登记服务;负责伤残军人残疾关系转移服务;负责免费避孕药具发放;负责免费孕前优生检查单发放;负责失业人员就业创业登记服务;负责离校未就业高校毕业生实名调查登记和就业服务;负责异地居住企业退休人员资格养老协助认证服务;负责公益性岗位管理和服务;负责城乡低保户年检信息收集;负责0-6岁残疾儿童基本康复项目免费服务;负责贫困残疾人辅具适配服务;负责特色产品登记服务;负责高素质职业农民培育对象登记服务;负责地力补贴发放;负责棉花补贴发放;负责农村集体产权流转交易服务;负责网上店铺登记服务;负责出具捐赠凭证;负责文化志愿者登记服务;负责法律援助服务;负责人民调解服务;负责救灾捐赠款物代收;负责流动人口服务(委托办理);负责企业退休人员社会化管理服务;负责失业人员职业指导培训服务;负责失业人员就业创业咨询服务;负责法治宣传教育服务;负责招工信息发布;负责求职登记服务;负责电子商务知识技能培训服务;负责安全生产宣传教育和培训服务;负责卫生法律法规宣传、咨询服务;乡 负责社保政策咨询服务;负责生育政策咨询服务。</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(七)农业综合服务中心(经济发展中心)</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加强党对农村经济建设的领导，巩固和加强农业基础地位，保障重要农产品有操 效供给和促进农民持续增收;执行本行政区域内的经济和社会</w:t>
      </w:r>
      <w:r>
        <w:rPr>
          <w:rFonts w:hint="eastAsia" w:ascii="Times New Roman" w:hAnsi="Times New Roman" w:eastAsia="仿宋_GB2312" w:cs="Times New Roman"/>
          <w:sz w:val="32"/>
          <w:szCs w:val="32"/>
          <w:lang w:eastAsia="zh-CN"/>
        </w:rPr>
        <w:t>发</w:t>
      </w:r>
      <w:r>
        <w:rPr>
          <w:rFonts w:hint="eastAsia" w:ascii="Times New Roman" w:hAnsi="Times New Roman" w:eastAsia="仿宋_GB2312" w:cs="Times New Roman"/>
          <w:sz w:val="32"/>
          <w:szCs w:val="32"/>
        </w:rPr>
        <w:t>展计划;按职责分工负责农产品质量安全监管工作，加强农产品质量安全知识的宣传,及时上报有关单位和个人报告的农产品质量安全事故;负责辖区内农村土地承包管理，承担农村土地承包责 经营纠纷调解相关工作;引导和扶持农业机械服务组织的发展，做好先进适用的农业机械推广和服务工作;负责组织当地农业生居 产经营组织和农业生产者对农业有害生物实施综合治理;按照职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r>
        <w:rPr>
          <w:rFonts w:hint="eastAsia" w:ascii="Times New Roman" w:hAnsi="Times New Roman" w:eastAsia="仿宋_GB2312" w:cs="Times New Roman"/>
          <w:sz w:val="32"/>
          <w:szCs w:val="32"/>
          <w:lang w:eastAsia="zh-CN"/>
        </w:rPr>
        <w:t>。</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八</w:t>
      </w:r>
      <w:r>
        <w:rPr>
          <w:rFonts w:hint="eastAsia" w:ascii="Times New Roman" w:hAnsi="Times New Roman" w:eastAsia="仿宋_GB2312" w:cs="Times New Roman"/>
          <w:b/>
          <w:bCs/>
          <w:sz w:val="32"/>
          <w:szCs w:val="32"/>
          <w:lang w:eastAsia="zh-CN"/>
        </w:rPr>
        <w:t>）退役军人服务站</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依照法定权限,做好本辖区的征兵、民兵、预备役、国防教育、国民经济动员、人民防空、国防交通、国防设施保护、拥军优属、退役军人服务等工作。</w:t>
      </w:r>
    </w:p>
    <w:p>
      <w:pPr>
        <w:spacing w:line="584" w:lineRule="exact"/>
        <w:ind w:firstLine="64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（九）</w:t>
      </w:r>
      <w:r>
        <w:rPr>
          <w:rFonts w:hint="eastAsia" w:ascii="Times New Roman" w:hAnsi="Times New Roman" w:eastAsia="仿宋_GB2312" w:cs="Times New Roman"/>
          <w:b/>
          <w:bCs/>
          <w:sz w:val="32"/>
          <w:szCs w:val="32"/>
          <w:lang w:eastAsia="zh-CN"/>
        </w:rPr>
        <w:t>综合文化服务站</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组织开展本辖区科普活动，宣传科学、文明的生产和生活方式;负责本辖区综合文化站、新时代文明实践中心(所、站)建设和日常管理，实施免费开放;组织开展全民健身活动，建立健全全民健身工作协调机制;协调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按照有关规定设置</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镇纪委;市监察委员会向</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镇派出监察办公室，与镇纪委合署办公。</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镇工会、共青团、妇联等群团组织按有关规定和章程设置，在镇党委统一领导下开展工作。</w:t>
      </w: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outlineLvl w:val="0"/>
              <w:rPr>
                <w:rFonts w:hint="default" w:ascii="Times New Roman" w:hAnsi="Times New Roman" w:eastAsia="仿宋_GB2312" w:cs="Times New Roman"/>
                <w:b w:val="0"/>
                <w:bCs/>
                <w:sz w:val="32"/>
                <w:szCs w:val="24"/>
                <w:lang w:val="en-US" w:eastAsia="zh-CN"/>
              </w:rPr>
            </w:pPr>
            <w:r>
              <w:rPr>
                <w:rFonts w:hint="eastAsia" w:ascii="Times New Roman" w:hAnsi="Times New Roman" w:eastAsia="仿宋_GB2312" w:cs="Times New Roman"/>
                <w:b w:val="0"/>
                <w:bCs/>
                <w:sz w:val="32"/>
                <w:szCs w:val="24"/>
                <w:lang w:val="en-US" w:eastAsia="zh-CN"/>
              </w:rPr>
              <w:t>三河市皇庄镇人民政府</w:t>
            </w:r>
          </w:p>
        </w:tc>
        <w:tc>
          <w:tcPr>
            <w:tcW w:w="1134"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行 政</w:t>
            </w:r>
          </w:p>
        </w:tc>
        <w:tc>
          <w:tcPr>
            <w:tcW w:w="1276"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正科级</w:t>
            </w:r>
          </w:p>
        </w:tc>
        <w:tc>
          <w:tcPr>
            <w:tcW w:w="2902"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lang w:val="en-US" w:eastAsia="zh-CN"/>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11461.41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4298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433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1444.31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1234.44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209.87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14748.1</w:t>
      </w:r>
      <w:r>
        <w:rPr>
          <w:rFonts w:ascii="Times New Roman" w:hAnsi="Times New Roman" w:eastAsia="仿宋_GB2312" w:cs="Times New Roman"/>
          <w:sz w:val="32"/>
          <w:szCs w:val="32"/>
        </w:rPr>
        <w:t>万元，本级支出主要为皇庄镇2020年农村公路工程、其他基础设施建设项目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道路设施建设项目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2022年拆迁补偿资金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其他基础设施建设项目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取水设施项目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容貌改善项目、提前下达2021年省级大气污染防治资金（双代资金）（冀财建【2020】309号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提前下达2022年均衡性转移支付（村级组织运转经费冀财预【2021】75号）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乡镇体制改革前项目（一般）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镇村基础设施建设项目（基金）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镇村社会事业发展建设项目（一般）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村级组织运转经费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服务群众专项经费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绿化造林经费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农村燃气协管员工资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其他专项业务费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综合业务经费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综合执法业务费等；上缴上级支出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2148.38</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63.65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2084.73</w:t>
      </w:r>
      <w:r>
        <w:rPr>
          <w:rFonts w:ascii="Times New Roman" w:hAnsi="Times New Roman" w:eastAsia="仿宋_GB2312" w:cs="Times New Roman"/>
          <w:sz w:val="32"/>
          <w:szCs w:val="32"/>
        </w:rPr>
        <w:t>万元，主要为道路设施建设项目（基金）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2022年拆迁补偿资金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镇村基础设施建设项目（基金）项目支出。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209.87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22.81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21.26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21.26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1.55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万元（其中：公务用车购置</w:t>
      </w:r>
      <w:r>
        <w:rPr>
          <w:rFonts w:ascii="Times New Roman" w:hAnsi="Times New Roman" w:eastAsia="仿宋_GB2312" w:cs="Times New Roman"/>
          <w:sz w:val="32"/>
          <w:szCs w:val="32"/>
          <w:highlight w:val="none"/>
        </w:rPr>
        <w:t>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与2021年相比持平。</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是为贯彻落实的关键之年，也是确保规划目标任务落到实处。为此，我镇将在市委、市政府的领导下，做到态度不能变、决心不能减、尺度不能松，充分依托我镇自身优势，团结一心、勇于突破、敢于争先，大力开展产业化调整，重点完成以下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持续改善民生。以幸福指数提升为标准，以项目建设、惠民政策为抓手，继续做好民生工作;一方面大力推进各项政府、民生资金项目，另一方面落实新农合、农村低保、大病救助、退伍士兵优抚、五保供养、残疾人救助、普惠儿童补助、高龄补贴、失地农民再就业等各项惠农政策。切实让广大群众提升幸福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是继续抓好各项重点工作。继续抓好脱贫攻坚、大气污染防治、“散乱污”企业整治、拆违攻坚、安全生产、整洁城乡、美丽乡村等工作。树立村规民约，教育村民树立环保意识，努力营造天蓝、地绿、水清、村美、宣居的生态环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是逐步加强社会管理。扎实做好信访稳定和安全生产工作。一要做好“两会”安保工作;二要做好信访稳定工作;三要深入开展“扫黑除恶”斗争;四要继续做好生产安全、交通安全、消防安全、食品药品安全工作，保证人民群众生命财产的安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是继续强化干部建设。深入开展“两学一做”学习教育，坚持党委理论中心组学习制度，抓好镇村干部理论学习，提高理论水平和执政能力，加强意识形态建设工作，牢牢把握意识形态领导权、管辖权、话语权；深入党风廉政建设，践行社会主义核心价值观，弘扬主旋律、激发正能量，促进党风、政风、村风、民风的不断好转。</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我们将继续振奋精神、鼓足斗志、扎实工作，努力推动全经济社会又快又好发展，全面完成市委、市政府下达的各项工作任务。为“挺进三十强、全面达小康，建设新时代经济强市美丽三河”做出我镇应有贡献!</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1、农村组织服务能力进一步提升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抓好“两委”班子建设，协助镇党委搞好自身建设和基层党支部换届选举工作；做好两室阵地建设；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落实村干部工资及相关待遇，按时按量发放工资，工资发放按照1次/月的标准足额发放；及时拨付资金，保障村街正常运转，保障村街运转天数达到全年总天数的95%以上；完成农村基层组织建设和基层民主政治建设，工程验收合格率达到100%，按时拨付工程资金。按照上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的要求，完成党费收缴、党刊征订发行、党内统计、党组织关系接转和民主评议党员工作，工作完成率达到100%；协助上级组织和人事</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做好干部考察、审查和培训工作，培训次数达到2次/年；完成党员和农村党员干部的档案建立和管理工作。</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2、财税工作稳步推进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绩效目标：严格依照国家法规政策、认真履行各项财政监管职能，确保财政资金使用合理、合法、合规，杜绝腐败案件发生，进一步提高机关效能，服务于全镇经济发展。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绩效指标：执行财政法规、政策、制度；负责编制、执行、调整镇级年度预、决算；及时拨付镇级财政资金、村级资金、工程项目、人员工资与保险、惠农补贴类资金；配合上级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按时按量完成各项工作；税收工作任务完成率达到计划的85%以上；年底测评满意人数达到总数的85%以上。</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3、社会保障服务机制规范化</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善城乡社会救助制度，实施分类救助，应保尽保，动态管理；残疾人、孤儿救助设施齐全；解决优抚对象的生活、住房、医疗困难，按时足额发放各类经济补助；推进全镇社会组织健康发展。通过对困难群众基本生活进行救助，从而对广大农村特困人群提供了基本生活保障，更好的构建社会主义和谐社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完善社会救助体系建设，负责城乡居民最低生活保障、五保供养、医疗救助，救助人数达到10人以上，救助金发放率达到90%，救助人群生活情况得到改善；组织对优抚对象的优待、抚恤的政策落实；服务对象满意度达到85%以上。</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4、农村生活环境和生态环境进一步改善提升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生产者采取直接补贴的办法，支持推广优良品种、先进适用种养技术，实施科学管理,提高农产品产量、质量，提高生产经营效益，耕地地力补贴及其他相关补贴的户数达到应补贴户数的100%。制定并组织实施农田水利基本建设。实行造林绿化，改善生态环境，绿化造林面积20555.39亩，补助金发放率达到预算数的90%以上。</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5、政府业务及政务管理更加规范高效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排查、化解影响社会稳定的重大不稳定隐患、群体性事件和突发事件。文化发展环境健康向上，文化发展能力不断增强，公共文化服务不断提高。提升公共设施水平，提高公共服务能力。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城镇体系规划等层面规划编制，加强城乡建设管理，做好镇域内的征兵工作。保障社会稳定，矛盾纠纷调处率达到85%以上，减少越级访、进京访人数。管理和指导全镇文化建设推进文化发展环境能力建设。工作完成及时率达到85%以上，上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对工作满意度达到85%以上。</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6、镇域内拆违、环境治理工作顺利开展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绩效目标：对镇域内违法建筑物的拆除、散乱污企业巡查、大气污染巡查及镇域内街道两侧治安，进一步加大监察力度；拨付综合执法中队人员工资及正常运转经费。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绩效指标：对皇庄镇四中监测点周边巡查次数300次/年以上；环保宣传覆盖镇域内村街、小学、企事业单位、商户的比率达到95%以上；镇域内街道两侧治安，维护社会稳定。</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一、抓重点、带全局，确保经济稳步发展。</w:t>
      </w:r>
      <w:r>
        <w:rPr>
          <w:rFonts w:hint="eastAsia" w:ascii="Times New Roman" w:hAnsi="Times New Roman" w:eastAsia="仿宋_GB2312" w:cs="Times New Roman"/>
          <w:sz w:val="32"/>
          <w:szCs w:val="32"/>
        </w:rPr>
        <w:t>一是经济指标稳步提高。2022年，我们继续以经济建设为中心，不断转变经济发展方式，强化发展理念，加大投资力度，落实优惠政策，完善发展环境，确保全镇经济实现了又好又快发展。二是经济结构不断优化。充分依托紧邻市区、交通便利的优势，积极引导企业发挥自身优势，加快转型发展。全镇经济呈现经济结构不断优化，发展水平不断提高的良好环境</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二、强基础，患民生，社会保障逐步完善。</w:t>
      </w:r>
      <w:r>
        <w:rPr>
          <w:rFonts w:hint="eastAsia" w:ascii="Times New Roman" w:hAnsi="Times New Roman" w:eastAsia="仿宋_GB2312" w:cs="Times New Roman"/>
          <w:sz w:val="32"/>
          <w:szCs w:val="32"/>
        </w:rPr>
        <w:t>我们始终把为人民服务作为第一宗旨，以群众需求为第一信号，以群众满意为第一目标，不断加大民生工作推进力度，千方百计改善民生，全力以赴促进民生。</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三、治污染、优环境，镇村面貌大幅提升。</w:t>
      </w:r>
      <w:r>
        <w:rPr>
          <w:rFonts w:hint="eastAsia" w:ascii="Times New Roman" w:hAnsi="Times New Roman" w:eastAsia="仿宋_GB2312" w:cs="Times New Roman"/>
          <w:sz w:val="32"/>
          <w:szCs w:val="32"/>
        </w:rPr>
        <w:t>一是散乱污企业整治工作扎实推进。为了遏制“散乱污”企业滋生、反弹，镇环保所、综合执法中队每天对域内企业进行不间断巡查，防止已关停取缔的“散乱污”企业死灰复燃，对新生“散乱污”企业，果断采取“两断、三清”，過制其滋长的苗头，时刻保持“散乱污”企业整治高压态势。二是环境污染综合治理有效开展。全力推进秸秆禁烧、垃圾禁烧工作，并通过村街广播不间断进行宣传，营造全社会广泛参与、农民群众自觉行动的禁烧氛围。同时，每个村街安排秸秆禁烧巡查员，每天不间断进行巡查，发现火情及时劝阻处理。通过清理垃圾、封堵排污口加装隔离网和警示牌等工作，深入开展渗坑治理工作。三是植树造林工作稳步推进。坚持超前谋划，主动作为，抢抓时机，借势推动。四是河渠清理效果明显。制定了河渠名录，分级公示镇、村河长信息，并按照市河长办相关要求，从河道违建、排污口封堵、垃圾清理、非法采砂、黑臭水体五个方面进行排查与整治，实现河道无垃圾、污水无直排、水域无障碍、堤岸无损毁、沿岸无违建、两侧无树障。五是农村环境卫生整治成效显著。各村街全力推进农村垃圾集中清理行动，集中力量对村内侵街占道、乱堆乱放和卫生死角进行清理，环卫公司负责对燕灵路、集贸市场等公共区域进行清理，镇村环境得到明显改善。</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四、保稳定，促和谐，社会管理逐步完善。</w:t>
      </w:r>
      <w:r>
        <w:rPr>
          <w:rFonts w:hint="eastAsia" w:ascii="Times New Roman" w:hAnsi="Times New Roman" w:eastAsia="仿宋_GB2312" w:cs="Times New Roman"/>
          <w:sz w:val="32"/>
          <w:szCs w:val="32"/>
        </w:rPr>
        <w:t>一是扫黑除悉强势开展。成立了皇庄镇扫黑除恶领导小组，并通过悬挂条幅、发放明白纸、村街广播等形式，积极宣传扫黑除恶工作。与此同时，认真开展扫黑除恶专项斗争专题谈心谈话活动，镇党委书记与各支部书记、派出所、工商分局、国上所、城建办等所站负责人一对一进行谈话，并签订扫黑除恶承诺书，把责任和压力层层传导到每一个基层站所、每一个基层干部，推进扫黑除恶专项斗争深入开展。二是信访调处水平不断提高。顺利完成全国“两会”等重要事件节点的安保任务。建立健全了镇级综治中心，配齐办公设备，工作制度健全并上墙。充分发挥村级综治网格员作用，现固提高“中心+网格化+信息化”的成效。完善了领导约访、开门接访、带案下访、限时结访四项工作机制，主动化解矛盾隐患，全力维护社会稳定，信访调处水平和成效不断提高。三是安全生产形势运行良好。镇安全生产委员会与全镇49个村街、中小学校及幼儿园、企业分别签订安全生产目标责任书，每月召集村街安全员、学校校长和企业负责人参加安全生产培训会，强化安全生产责任意识，増强了抓安全生产工作的积极性和责任心，并将安全生产纳入年终考核，形成了主要领导亲自抓、分管领导具体抓，形成了党政同责，“一岗双责”的良好局面。同时开展深化安全生产大排查大整治活动，充分发挥包企责任人职责，重点对液化石油气和天然气、托管机构、校外培训机构、危化品和烟花爆竹、卫生防疫和食药品安全等行业进行全面安全隐患排查整改，逐项排查、逐项整改，彻底消除安全隐患。四是气代煤安全运营深入推进。扎实开展“三查、三送、三提升”活动，充分发挥安全协管员的作用，深入排查气代煤工程中存在的安全隐患。切实抓住清煤、拆、通风等关键点，做到“真改、实改”，确保消險各类隐患。对村内独居老人、精神智力障码患者进行了一次全面排查，合理确定供暖方式，签帮扶管护协议，逐一排查供电线路老化问题，统一进行整改，确保群众都能够按时供暖，安全过冬，温暖过冬。五是非洲猜癌疫情防控到位。同时加强防控宣传，采取多渠道宣传猪瘟疫情防控工作，确保将疫情隔离在镇域之外。</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五、扬正气、树新风，廉政建设取得实效。</w:t>
      </w:r>
      <w:r>
        <w:rPr>
          <w:rFonts w:hint="eastAsia" w:ascii="Times New Roman" w:hAnsi="Times New Roman" w:eastAsia="仿宋_GB2312" w:cs="Times New Roman"/>
          <w:sz w:val="32"/>
          <w:szCs w:val="32"/>
          <w:lang w:val="en-US" w:eastAsia="zh-CN"/>
        </w:rPr>
        <w:t>我镇严格贯彻执行党风廉政建设责任制各项规定，全面落实党风政建设主体责任，镇党委书记是第一责任人，做到廉政建设重要工作亲自部署，重大问题亲自过问，重点环节亲自协调，重要案件亲自督办，充分发挥纪委监督责任，协助党委落实党风廉政建设主体责任，狠抓监督检査。一是严格教育。坚持把把党风廉政教育作为加强自身建设的重要环节来抓，通过日常学习中央和上级党委关于党风廉政建设的相关文件，剖析各方面典型案例，切实增强做好党风廉政建设的主动性、自觉性。同时，不断强化党性党风教育，使广大党员干部进一步树立正确的世界观、人生观、价值观，切实坚定理想信念，真正做到防微杜渐，从而在思想上筑起一道攻不破的廉政防线。二是严格管理。根据工作分工调整充实了镇党风廉政建设工作领导小组，全面加强对党风廉政建设的组织领导，特别是按照“一岗双责”的要求，把党风廉政建设与业务工作同部署、同落实、同检查同考核。在此基础上，将党风廉政建设和反腐倡廉工作任务进一步细化、量化，分解落实到各单位，形成一级抓一级、一级促一级、层层抓落实的良好格局。同时，制定完善了廉政建设、民主生活会、民主议事等一系列规章制度，通过制度约束，真正做到变责任为压力、变压力为执行力。三是严格检查。为确保党风廉政建设落到实处，坚持把监督检查贯穿工作的始终，重点检查廉政教育是否深入、各项制度是否落实、廉洁自律是否到位，以及政务、党务公开执行情况、“热点”、“焦点”问题处理情况，及时发现问题，果断纠正解决，确保令行禁止。</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sectPr>
          <w:pgSz w:w="11900" w:h="16840"/>
          <w:pgMar w:top="1984" w:right="1304" w:bottom="1134" w:left="1304" w:header="720" w:footer="720" w:gutter="0"/>
          <w:pgNumType w:start="1"/>
          <w:cols w:space="720" w:num="1"/>
        </w:sect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0"/>
        <w:gridCol w:w="1062"/>
        <w:gridCol w:w="2079"/>
        <w:gridCol w:w="627"/>
        <w:gridCol w:w="2355"/>
        <w:gridCol w:w="628"/>
        <w:gridCol w:w="692"/>
        <w:gridCol w:w="67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6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9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2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0" w:type="dxa"/>
            <w:vMerge w:val="continue"/>
            <w:tcBorders>
              <w:tl2br w:val="nil"/>
              <w:tr2bl w:val="nil"/>
            </w:tcBorders>
            <w:vAlign w:val="center"/>
          </w:tcPr>
          <w:p/>
        </w:tc>
        <w:tc>
          <w:tcPr>
            <w:tcW w:w="1062" w:type="dxa"/>
            <w:vMerge w:val="continue"/>
            <w:tcBorders>
              <w:tl2br w:val="nil"/>
              <w:tr2bl w:val="nil"/>
            </w:tcBorders>
            <w:vAlign w:val="center"/>
          </w:tcPr>
          <w:p/>
        </w:tc>
        <w:tc>
          <w:tcPr>
            <w:tcW w:w="2079" w:type="dxa"/>
            <w:vMerge w:val="continue"/>
            <w:tcBorders>
              <w:tl2br w:val="nil"/>
              <w:tr2bl w:val="nil"/>
            </w:tcBorders>
            <w:vAlign w:val="center"/>
          </w:tcPr>
          <w:p/>
        </w:tc>
        <w:tc>
          <w:tcPr>
            <w:tcW w:w="627" w:type="dxa"/>
            <w:vMerge w:val="continue"/>
            <w:tcBorders>
              <w:tl2br w:val="nil"/>
              <w:tr2bl w:val="nil"/>
            </w:tcBorders>
            <w:vAlign w:val="center"/>
          </w:tcPr>
          <w:p/>
        </w:tc>
        <w:tc>
          <w:tcPr>
            <w:tcW w:w="2355" w:type="dxa"/>
            <w:vMerge w:val="continue"/>
            <w:tcBorders>
              <w:tl2br w:val="nil"/>
              <w:tr2bl w:val="nil"/>
            </w:tcBorders>
            <w:vAlign w:val="center"/>
          </w:tcPr>
          <w:p/>
        </w:tc>
        <w:tc>
          <w:tcPr>
            <w:tcW w:w="6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7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2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数量</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60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人</w:t>
            </w:r>
          </w:p>
        </w:tc>
        <w:tc>
          <w:tcPr>
            <w:tcW w:w="2323"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质量</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完成上级交办各项工作合格率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完成上级交办各项工作合格率</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时效</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eastAsia="zh-CN"/>
              </w:rPr>
              <w:t>单位</w:t>
            </w:r>
            <w:r>
              <w:rPr>
                <w:rFonts w:hint="eastAsia" w:ascii="方正书宋_GBK" w:eastAsia="方正书宋_GBK"/>
                <w:b w:val="0"/>
                <w:bCs w:val="0"/>
                <w:sz w:val="20"/>
                <w:szCs w:val="20"/>
              </w:rPr>
              <w:t>预决算及三公经费预决算按时公开率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eastAsia="zh-CN"/>
              </w:rPr>
              <w:t>单位</w:t>
            </w:r>
            <w:r>
              <w:rPr>
                <w:rFonts w:hint="eastAsia" w:ascii="方正书宋_GBK" w:eastAsia="方正书宋_GBK"/>
                <w:b w:val="0"/>
                <w:bCs w:val="0"/>
                <w:sz w:val="20"/>
                <w:szCs w:val="20"/>
              </w:rPr>
              <w:t>预决算及三公经费预决算按时公开率</w:t>
            </w:r>
          </w:p>
        </w:tc>
        <w:tc>
          <w:tcPr>
            <w:tcW w:w="628"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成本</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机关办公用电成本</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机关办公用电成本</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0.51</w:t>
            </w:r>
          </w:p>
        </w:tc>
        <w:tc>
          <w:tcPr>
            <w:tcW w:w="674"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元/度</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社会</w:t>
            </w:r>
          </w:p>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效益</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基础设施使用率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已建成并投入使用的基础设施数量占当年全部建设数量的比率</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基础设施建设项目验收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ascii="方正书宋_GBK" w:eastAsia="方正书宋_GBK"/>
                <w:b w:val="0"/>
                <w:bCs w:val="0"/>
                <w:sz w:val="20"/>
                <w:szCs w:val="20"/>
              </w:rPr>
              <w:t>满意度</w:t>
            </w:r>
          </w:p>
        </w:tc>
        <w:tc>
          <w:tcPr>
            <w:tcW w:w="2079"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群众满意度</w:t>
            </w:r>
          </w:p>
        </w:tc>
        <w:tc>
          <w:tcPr>
            <w:tcW w:w="627" w:type="dxa"/>
            <w:tcBorders>
              <w:tl2br w:val="nil"/>
              <w:tr2bl w:val="nil"/>
            </w:tcBorders>
            <w:noWrap/>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调查中，满意和较满意的数量占调查总数的比例</w:t>
            </w:r>
          </w:p>
        </w:tc>
        <w:tc>
          <w:tcPr>
            <w:tcW w:w="628"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安全生产业务费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通过该项目资金投入，加强安全生产培训、宣传，加强安全生产巡查、监督、管理，将安全生产事故数量、伤亡人数控制在上级下达的指标范围内。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执行排查治理次数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安全生产培训及宣传、安全生产隐患排查治理次数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安全生产工作覆盖面</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安全生产工作覆盖面</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企业安全生产排查频度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进驻企业进行安全生产排查频度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1次/季度</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项目平均预算成本</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域内单位、商户安全生产事故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域内企事业单位、商户全年无重大安全生产事故情况</w:t>
            </w:r>
          </w:p>
        </w:tc>
        <w:tc>
          <w:tcPr>
            <w:tcW w:w="1843" w:type="dxa"/>
            <w:shd w:val="clear" w:color="auto" w:fill="auto"/>
            <w:vAlign w:val="top"/>
          </w:tcPr>
          <w:p>
            <w:pPr>
              <w:jc w:val="left"/>
              <w:rPr>
                <w:rFonts w:ascii="Times New Roman" w:hAnsi="Times New Roman" w:eastAsia="仿宋_GB2312" w:cs="Times New Roman"/>
              </w:rPr>
            </w:pPr>
            <w:r>
              <w:rPr>
                <w:rFonts w:hint="eastAsia" w:ascii="Times New Roman" w:hAnsi="Times New Roman" w:eastAsia="仿宋_GB2312" w:cs="Times New Roman"/>
              </w:rPr>
              <w:t>无事故发生</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服务对象中满意或非常满意数量占调查总数的比例</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财税管理专项经费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完成政府安排的招商引资任务，扩大镇域内税源，增加财政收入，保障各项工作顺利开展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扶植税源覆盖率</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全年扶植税源覆盖村街数量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全年完成的工作任务占计划完成数的比率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收入计划按时完成率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收入计划按照时间进度完成的比率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预算项目控制成本数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镇域内税源每户控制成本数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上级</w:t>
            </w:r>
            <w:r>
              <w:rPr>
                <w:rFonts w:hint="eastAsia" w:cs="Calibri"/>
                <w:i w:val="0"/>
                <w:iCs w:val="0"/>
                <w:color w:val="000000"/>
                <w:kern w:val="0"/>
                <w:sz w:val="22"/>
                <w:szCs w:val="22"/>
                <w:u w:val="none"/>
                <w:lang w:val="en-US" w:eastAsia="zh-CN" w:bidi="ar"/>
              </w:rPr>
              <w:t>单位</w:t>
            </w:r>
            <w:r>
              <w:rPr>
                <w:rFonts w:hint="default" w:ascii="Calibri" w:hAnsi="Calibri" w:eastAsia="宋体" w:cs="Calibri"/>
                <w:i w:val="0"/>
                <w:iCs w:val="0"/>
                <w:color w:val="000000"/>
                <w:kern w:val="0"/>
                <w:sz w:val="22"/>
                <w:szCs w:val="22"/>
                <w:u w:val="none"/>
                <w:lang w:val="en-US" w:eastAsia="zh-CN" w:bidi="ar"/>
              </w:rPr>
              <w:t>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村基层综合性文化服务中心达标建设项目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通过项目实施提高村街居民生活文化水平</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2820元/平米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 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村级组织运转经费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通过项目的开展实现夯实基层基础，促进村级组织依法有效履行职能，建立健全“资金稳定、管理规范、责任明晰、保障有力”的村级组织运转经费保障机制。</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覆盖村街数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涉及村级组织运转经费村街数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村委会正常运转比例</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正常工作天数占总天数的比例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各项经费按时发放占全部应发放的比例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村街人员平均工资成本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村街发展能力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明显增强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村干部满意度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通过抽查，满意和较满意的村干部占抽查对象的比例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档案业务经费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通过项目实施确保单位档案整齐有序，查阅高效便捷。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档案管理涉及科室数量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档案管理涉及科室数量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档案规整及时性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档案规整期限</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档案组柜成本数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档案组柜单柜成本数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520元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档案使用人员政策知晓度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档案使用人员满意度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道路设施建设项目（基金）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通过项目实施，保证村街道路通畅，村民出行安全</w:t>
            </w:r>
            <w:r>
              <w:rPr>
                <w:rFonts w:hint="eastAsia" w:ascii="Times New Roman" w:hAnsi="Times New Roman" w:eastAsia="仿宋_GB2312" w:cs="Times New Roman"/>
                <w:sz w:val="28"/>
              </w:rPr>
              <w:tab/>
            </w:r>
            <w:r>
              <w:rPr>
                <w:rFonts w:hint="eastAsia" w:ascii="Times New Roman" w:hAnsi="Times New Roman" w:eastAsia="仿宋_GB2312" w:cs="Times New Roman"/>
                <w:sz w:val="28"/>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180元/平米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道路长期通行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道路设施建设项目（一般）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lang w:val="en-US" w:eastAsia="zh-CN"/>
              </w:rPr>
              <w:t>通过项目实施，保证村街道路通畅，村民出行安全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项目每平米控制成本数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180元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村级公共服务项目竣工验收，资金及时支付，公共设施保持正常运转。提高村级公共服务保障水平，改善农村生产生活条件，加快城乡一体化进程</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项目资金覆盖村街数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项目资金覆盖村街数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资金拨付到位及时率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资金拨付到位及时率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基础设施正常运转率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基础设施正常运转率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基础设施维护成本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基础设施维护平均每个村街成本数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收益对象生活环境改善</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居民生活环境满意度提升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是否能够长期较好地展示项目成果，长期满足人民群众的需求</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辅助性岗位专项资金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9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通过对重点退役士兵安排工作，达到逐步解决退役士兵安置遗留问题，让军人更加受到社会尊崇，解决退役士兵生活保障问题。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安置退役辅岗人数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安置退役辅岗人员数量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完成交办的任务占交办任务的比例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工资按时发放时间月数占全年总月数的比例。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平均人员工资成本数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4040元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涉军人员政策知晓率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涉军人员政策知晓率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皇庄镇2020年农村公路工程</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通过项目开展，项目建成后改善镇域内道路面貌，提高整体通行能力，使群众出行更加便捷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农村公路建设工程量</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7.3</w:t>
            </w:r>
            <w:r>
              <w:rPr>
                <w:rFonts w:hint="eastAsia" w:ascii="Times New Roman" w:hAnsi="Times New Roman" w:eastAsia="仿宋_GB2312" w:cs="Times New Roman"/>
                <w:lang w:val="en-US" w:eastAsia="zh-CN"/>
              </w:rPr>
              <w:t>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建设项目质量合格率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质监</w:t>
            </w:r>
            <w:r>
              <w:rPr>
                <w:rFonts w:hint="eastAsia" w:cs="Calibri"/>
                <w:i w:val="0"/>
                <w:iCs w:val="0"/>
                <w:color w:val="000000"/>
                <w:kern w:val="0"/>
                <w:sz w:val="22"/>
                <w:szCs w:val="22"/>
                <w:u w:val="none"/>
                <w:lang w:val="en-US" w:eastAsia="zh-CN" w:bidi="ar"/>
              </w:rPr>
              <w:t>单位</w:t>
            </w:r>
            <w:r>
              <w:rPr>
                <w:rFonts w:hint="default" w:ascii="Calibri" w:hAnsi="Calibri" w:eastAsia="宋体" w:cs="Calibri"/>
                <w:i w:val="0"/>
                <w:iCs w:val="0"/>
                <w:color w:val="000000"/>
                <w:kern w:val="0"/>
                <w:sz w:val="22"/>
                <w:szCs w:val="22"/>
                <w:u w:val="none"/>
                <w:lang w:val="en-US" w:eastAsia="zh-CN" w:bidi="ar"/>
              </w:rPr>
              <w:t>出具合格的建设工程数量占总建设数量的比率</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项目工作完成及时率</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农村公路建设每公里修建成本数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315万元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项目提高农村公路整体通行能力</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项目工作正常运转情况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完善公路建设</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基层组织建设项目（一般）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通过项目实施，完善基层村街两室建设，提升基层党建水平，提高服务群众办公效率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项目建设每平米资金控制数</w:t>
            </w:r>
          </w:p>
        </w:tc>
        <w:tc>
          <w:tcPr>
            <w:tcW w:w="1843" w:type="dxa"/>
            <w:shd w:val="clear" w:color="auto" w:fill="auto"/>
            <w:vAlign w:val="top"/>
          </w:tcPr>
          <w:p>
            <w:pPr>
              <w:keepNext w:val="0"/>
              <w:keepLines w:val="0"/>
              <w:widowControl/>
              <w:suppressLineNumbers w:val="0"/>
              <w:jc w:val="left"/>
              <w:textAlignment w:val="top"/>
              <w:rPr>
                <w:rFonts w:hint="eastAsia" w:ascii="Times New Roman" w:hAnsi="Times New Roman" w:eastAsia="仿宋_GB2312" w:cs="Times New Roman"/>
              </w:rPr>
            </w:pPr>
            <w:r>
              <w:rPr>
                <w:rFonts w:hint="default" w:ascii="Times New Roman" w:hAnsi="Times New Roman" w:eastAsia="仿宋_GB2312" w:cs="Times New Roman"/>
                <w:lang w:val="en-US" w:eastAsia="zh-CN"/>
              </w:rPr>
              <w:t>450</w:t>
            </w:r>
            <w:r>
              <w:rPr>
                <w:rFonts w:hint="eastAsia" w:ascii="Times New Roman" w:hAnsi="Times New Roman" w:eastAsia="仿宋_GB2312" w:cs="Times New Roman"/>
                <w:lang w:val="en-US" w:eastAsia="zh-CN"/>
              </w:rPr>
              <w:t>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w:t>
            </w:r>
            <w:r>
              <w:rPr>
                <w:rFonts w:hint="eastAsia" w:cs="Calibri"/>
                <w:i w:val="0"/>
                <w:iCs w:val="0"/>
                <w:color w:val="000000"/>
                <w:kern w:val="0"/>
                <w:sz w:val="22"/>
                <w:szCs w:val="22"/>
                <w:u w:val="none"/>
                <w:lang w:val="en-US" w:eastAsia="zh-CN" w:bidi="ar"/>
              </w:rPr>
              <w:t>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上级</w:t>
            </w:r>
            <w:r>
              <w:rPr>
                <w:rFonts w:hint="eastAsia" w:cs="Calibri"/>
                <w:i w:val="0"/>
                <w:iCs w:val="0"/>
                <w:color w:val="000000"/>
                <w:kern w:val="0"/>
                <w:sz w:val="22"/>
                <w:szCs w:val="22"/>
                <w:u w:val="none"/>
                <w:lang w:val="en-US" w:eastAsia="zh-CN" w:bidi="ar"/>
              </w:rPr>
              <w:t>单位</w:t>
            </w:r>
            <w:r>
              <w:rPr>
                <w:rFonts w:hint="default" w:ascii="Calibri" w:hAnsi="Calibri" w:eastAsia="宋体" w:cs="Calibri"/>
                <w:i w:val="0"/>
                <w:iCs w:val="0"/>
                <w:color w:val="000000"/>
                <w:kern w:val="0"/>
                <w:sz w:val="22"/>
                <w:szCs w:val="22"/>
                <w:u w:val="none"/>
                <w:lang w:val="en-US" w:eastAsia="zh-CN" w:bidi="ar"/>
              </w:rPr>
              <w:t>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抽查中，上级</w:t>
            </w:r>
            <w:r>
              <w:rPr>
                <w:rFonts w:hint="eastAsia" w:cs="Calibri"/>
                <w:i w:val="0"/>
                <w:iCs w:val="0"/>
                <w:color w:val="000000"/>
                <w:kern w:val="0"/>
                <w:sz w:val="22"/>
                <w:szCs w:val="22"/>
                <w:u w:val="none"/>
                <w:lang w:val="en-US" w:eastAsia="zh-CN" w:bidi="ar"/>
              </w:rPr>
              <w:t>单位</w:t>
            </w:r>
            <w:r>
              <w:rPr>
                <w:rFonts w:hint="default" w:ascii="Calibri" w:hAnsi="Calibri" w:eastAsia="宋体" w:cs="Calibri"/>
                <w:i w:val="0"/>
                <w:iCs w:val="0"/>
                <w:color w:val="000000"/>
                <w:kern w:val="0"/>
                <w:sz w:val="22"/>
                <w:szCs w:val="22"/>
                <w:u w:val="none"/>
                <w:lang w:val="en-US" w:eastAsia="zh-CN" w:bidi="ar"/>
              </w:rPr>
              <w:t>对提升工作效率方面的满意数量占调查总数的比例。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绿化造林经费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9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通过项目实施，打造绿美乡村，提升居民幸福生活指数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绿化造林涉及流转土地面积</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绿化造林涉及流转土地面积</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rPr>
              <w:t>38546.51</w:t>
            </w:r>
            <w:r>
              <w:rPr>
                <w:rFonts w:hint="eastAsia" w:ascii="Times New Roman" w:hAnsi="Times New Roman" w:eastAsia="仿宋_GB2312" w:cs="Times New Roman"/>
                <w:lang w:val="en-US" w:eastAsia="zh-CN"/>
              </w:rPr>
              <w:t>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营林管护项目验收合格率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营林管护项目验收合格率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按时发放到位的资金占应发资金的比例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亩均造林补助成本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亩均造林补助成本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1500元/亩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植树造林占地补偿政策知晓度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受益群众满意和较满意的人数占调查总人数的比率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农村独生子女父母奖励金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通过项目开展，有效提高家庭生活水平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独生子女证持有人数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独生子女证持有人数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706</w:t>
            </w:r>
            <w:r>
              <w:rPr>
                <w:rFonts w:hint="eastAsia" w:ascii="Times New Roman" w:hAnsi="Times New Roman" w:eastAsia="仿宋_GB2312" w:cs="Times New Roman"/>
                <w:lang w:val="en-US" w:eastAsia="zh-CN"/>
              </w:rPr>
              <w:t>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补助人员合格率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补助人员合格率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独生子女费按时发放率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独生子女费按时发放率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平均每人每月成本数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w:t>
            </w:r>
            <w:r>
              <w:rPr>
                <w:rFonts w:hint="eastAsia" w:ascii="Times New Roman" w:hAnsi="Times New Roman" w:eastAsia="仿宋_GB2312" w:cs="Times New Roman"/>
                <w:lang w:val="en-US" w:eastAsia="zh-CN"/>
              </w:rPr>
              <w:t>元/月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Calibri" w:hAnsi="Calibri" w:eastAsia="宋体" w:cs="Calibri"/>
                <w:i w:val="0"/>
                <w:iCs w:val="0"/>
                <w:color w:val="000000"/>
                <w:kern w:val="0"/>
                <w:sz w:val="22"/>
                <w:szCs w:val="22"/>
                <w:u w:val="none"/>
                <w:lang w:val="en-US" w:eastAsia="zh-CN" w:bidi="ar"/>
              </w:rPr>
              <w:t>1</w:t>
            </w:r>
            <w:r>
              <w:rPr>
                <w:rFonts w:hint="eastAsia" w:cs="Calibri"/>
                <w:i w:val="0"/>
                <w:iCs w:val="0"/>
                <w:color w:val="000000"/>
                <w:kern w:val="0"/>
                <w:sz w:val="22"/>
                <w:szCs w:val="22"/>
                <w:u w:val="none"/>
                <w:lang w:val="en-US" w:eastAsia="zh-CN" w:bidi="ar"/>
              </w:rPr>
              <w:t>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农村燃气协管员工资</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206"/>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通过项目开展，镇区内村民居住环境进一步得到改善和提升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206" w:type="dxa"/>
            <w:shd w:val="clear" w:color="auto" w:fill="auto"/>
            <w:vAlign w:val="top"/>
          </w:tcPr>
          <w:p>
            <w:pPr>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48</w:t>
            </w:r>
            <w:r>
              <w:rPr>
                <w:rFonts w:hint="eastAsia" w:ascii="Times New Roman" w:hAnsi="Times New Roman" w:eastAsia="仿宋_GB2312" w:cs="Times New Roman"/>
                <w:lang w:val="en-US" w:eastAsia="zh-CN"/>
              </w:rPr>
              <w:t>个</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补贴金额发放率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实际发放补贴额占计划发放金额的比率</w:t>
            </w:r>
          </w:p>
        </w:tc>
        <w:tc>
          <w:tcPr>
            <w:tcW w:w="1206" w:type="dxa"/>
            <w:shd w:val="clear" w:color="auto" w:fill="auto"/>
            <w:vAlign w:val="top"/>
          </w:tcPr>
          <w:p>
            <w:pPr>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资金按时发放情况</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平均每人每月工资成本数</w:t>
            </w:r>
          </w:p>
        </w:tc>
        <w:tc>
          <w:tcPr>
            <w:tcW w:w="1206" w:type="dxa"/>
            <w:shd w:val="clear" w:color="auto" w:fill="auto"/>
            <w:vAlign w:val="top"/>
          </w:tcPr>
          <w:p>
            <w:pPr>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≤2000元</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1206" w:type="dxa"/>
            <w:shd w:val="clear" w:color="auto" w:fill="auto"/>
            <w:vAlign w:val="top"/>
          </w:tcPr>
          <w:p>
            <w:pPr>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受益人群满意度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受益人群满意度</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其他基础设施建设项目（基金）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通过项目的实施，提升了我镇防汛能力，保障了电力设施安全，促进了社会的和谐发展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每人每天资金控制数</w:t>
            </w:r>
          </w:p>
        </w:tc>
        <w:tc>
          <w:tcPr>
            <w:tcW w:w="1843" w:type="dxa"/>
            <w:shd w:val="clear" w:color="auto" w:fill="auto"/>
            <w:vAlign w:val="top"/>
          </w:tcPr>
          <w:p>
            <w:pPr>
              <w:keepNext w:val="0"/>
              <w:keepLines w:val="0"/>
              <w:widowControl/>
              <w:suppressLineNumbers w:val="0"/>
              <w:jc w:val="left"/>
              <w:textAlignment w:val="top"/>
              <w:rPr>
                <w:rFonts w:hint="eastAsia" w:ascii="Times New Roman" w:hAnsi="Times New Roman" w:eastAsia="仿宋_GB2312" w:cs="Times New Roman"/>
              </w:rPr>
            </w:pPr>
            <w:r>
              <w:rPr>
                <w:rFonts w:hint="default" w:ascii="Times New Roman" w:hAnsi="Times New Roman" w:eastAsia="仿宋_GB2312" w:cs="Times New Roman"/>
                <w:lang w:val="en-US" w:eastAsia="zh-CN"/>
              </w:rPr>
              <w:t>≤150</w:t>
            </w:r>
            <w:r>
              <w:rPr>
                <w:rFonts w:hint="eastAsia" w:ascii="Times New Roman" w:hAnsi="Times New Roman" w:eastAsia="仿宋_GB2312" w:cs="Times New Roman"/>
                <w:lang w:val="en-US" w:eastAsia="zh-CN"/>
              </w:rPr>
              <w:t>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其他基础设施建设项目（一般）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通过项目的实施，提升了我镇防汛能力，保障了电力设施安全，促进了社会的和谐发展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每人每天资金控制数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6"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其他专项业务费</w:t>
      </w:r>
      <w:r>
        <w:rPr>
          <w:rFonts w:hint="eastAsia" w:ascii="Times New Roman" w:hAnsi="Times New Roman" w:eastAsia="仿宋_GB2312" w:cs="Times New Roman"/>
          <w:sz w:val="28"/>
          <w:lang w:val="en-US" w:eastAsia="zh-CN"/>
        </w:rPr>
        <w:t>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通过项目的实施，提升了我镇生活环境，促进了社会的和谐发展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实际完成工程量占计划完成量的比例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平均每人每天工资成本数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能够长期较好地按照工程实施的要求，保障持续正常运转。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其他专项业务费</w:t>
      </w:r>
      <w:r>
        <w:rPr>
          <w:rFonts w:hint="eastAsia" w:ascii="Times New Roman" w:hAnsi="Times New Roman" w:eastAsia="仿宋_GB2312" w:cs="Times New Roman"/>
          <w:sz w:val="28"/>
          <w:lang w:val="en-US" w:eastAsia="zh-CN"/>
        </w:rPr>
        <w:t>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通过项目的实施，提升了我镇生活环境，促进了社会的和谐发展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实际完成工程量占计划完成量的比例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平均每人每天工资成本数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能够长期较好地按照工程实施的要求，保障持续正常运转。</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取水设施项目（基金）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改造村街自来水管道工程，增强饮水安全，提高居民幸福生活指数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村街覆盖数量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村街覆盖数量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工程按期完工率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按期完成的工程量占总工程量的比例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单位控制成本数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110元/延米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能够长期较好地保证村民集中供水的需求</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0</w:t>
      </w:r>
      <w:r>
        <w:rPr>
          <w:rFonts w:ascii="Times New Roman" w:hAnsi="Times New Roman" w:eastAsia="仿宋_GB2312" w:cs="Times New Roman"/>
          <w:sz w:val="28"/>
        </w:rPr>
        <w:t>.</w:t>
      </w:r>
      <w:r>
        <w:rPr>
          <w:rFonts w:hint="eastAsia" w:ascii="Times New Roman" w:hAnsi="Times New Roman" w:eastAsia="仿宋_GB2312" w:cs="Times New Roman"/>
          <w:sz w:val="28"/>
        </w:rPr>
        <w:t>容貌改善项目（一般）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通过项目的实施，提升了我镇村容村貌及生态环境整体水平，促进了社会的和谐发展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预算绿化每平米控制成本数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提前下达2022年均衡性转移支付（村级组织运转经费冀财预【2021】75号）</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通过项目的开展实现工作中心向基层下移，工作力量向基层充实，工作资源向基层配置，使村级组织能够一心一意谋发展，带领党员群众共同致富，为全市经济社会发展贡献力量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覆盖村街数</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涉及村级组织运转经费村街数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村委会正常运转比例</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正常工作天数占总天数的比例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各项经费按时发放占全部应发放的比例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村街人员工资成本</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村街人员工资成本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3500元/月</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明显增强</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村干部满意度</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通过抽查，满意和较满意的村干部占抽查对象的比例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2.</w:t>
      </w:r>
      <w:r>
        <w:rPr>
          <w:rFonts w:hint="eastAsia" w:ascii="Times New Roman" w:hAnsi="Times New Roman" w:eastAsia="仿宋_GB2312" w:cs="Times New Roman"/>
          <w:sz w:val="28"/>
        </w:rPr>
        <w:t>提前下达2022年均衡性转移支付（革命老区冀财预【2021】71号）（一般）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通过项目开展，项目建成后改善村街整体面貌，提高居民生活水平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项目建设面积数量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项目建设面积数量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10667平米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7"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项目资金到位及时性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项目资金到位及时性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及时到位</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项目每平米建设成本数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乡镇体制改革前项目（一般）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通过项目实施，保证镇域整体发展建设，提高居民生活水平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280元/平米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道路长期通行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镇村基础设施建设项目（基金）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通过项目的实施，增强村街饮水安全，提高居民幸福生活指数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自来水项目管道长度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伏集村铺设自来水管道长度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20000米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管道铺设平均成本数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自来水管道铺设平均成本数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110元/延米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能够长期较好地保证村民集中供水的需求</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项目开展村街居民收入提高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项目开展村街居民收入提高</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较上年度有所提升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镇村社会事业发展建设项目（一般）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通过项目的实施，提升了我镇事业发展经济水平，促进了社会的和谐发展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基础建设每平方控制成本数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综合业务经费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镇域范围内各项综合业务管理，大力支持上级</w:t>
            </w:r>
            <w:r>
              <w:rPr>
                <w:rFonts w:hint="eastAsia" w:ascii="Times New Roman" w:hAnsi="Times New Roman" w:eastAsia="仿宋_GB2312" w:cs="Times New Roman"/>
                <w:sz w:val="28"/>
                <w:lang w:eastAsia="zh-CN"/>
              </w:rPr>
              <w:t>单位</w:t>
            </w:r>
            <w:r>
              <w:rPr>
                <w:rFonts w:hint="eastAsia" w:ascii="Times New Roman" w:hAnsi="Times New Roman" w:eastAsia="仿宋_GB2312" w:cs="Times New Roman"/>
                <w:sz w:val="28"/>
              </w:rPr>
              <w:t>布置的各项任务，确保各项业务正常开展。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机构正常运转天数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机构正常运转天数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362天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工作合格占总数比率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反映工作完成及时率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安排村街培植财源平均每村资金数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6500元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综合执法业务费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通过项目的开展保障机构正常运转，实现了本镇综合执法业务人员工作正常开展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镇级综合执法队员人数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镇级综合执法队员人数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54人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工资待遇全额发放率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实际发放的工资金额占应发金额的比率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按时完成的工作占全部工作量的比率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商业街两侧占道经营同比减少情况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通过执法和巡查，对皇庄镇域内商户占道经营情况有效治理，通过走访调查，同比往年占道经营减少率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通过发放工资待遇，满意和较满意的执法队员占全部调查人数的比率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299.65</w:t>
      </w:r>
      <w:r>
        <w:rPr>
          <w:rFonts w:ascii="Times New Roman" w:hAnsi="Times New Roman" w:eastAsia="仿宋_GB2312" w:cs="Times New Roman"/>
          <w:sz w:val="32"/>
          <w:szCs w:val="24"/>
        </w:rPr>
        <w:t>万元。具体内容见下表。</w:t>
      </w:r>
    </w:p>
    <w:bookmarkEnd w:id="1"/>
    <w:p>
      <w:pPr>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jc w:val="center"/>
        <w:outlineLvl w:val="1"/>
        <w:rPr>
          <w:rFonts w:ascii="方正小标宋_GBK" w:eastAsia="方正小标宋_GBK" w:cs="Times New Roman"/>
          <w:sz w:val="32"/>
        </w:rPr>
      </w:pPr>
      <w:r>
        <w:rPr>
          <w:rFonts w:hint="eastAsia"/>
          <w:lang w:eastAsia="zh-CN"/>
        </w:rPr>
        <w:t>三河</w:t>
      </w:r>
      <w:r>
        <w:t>市</w:t>
      </w:r>
      <w:r>
        <w:rPr>
          <w:rFonts w:hint="eastAsia"/>
          <w:lang w:val="en-US" w:eastAsia="zh-CN"/>
        </w:rPr>
        <w:t>皇庄镇人民政府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299.65</w:t>
            </w:r>
          </w:p>
        </w:tc>
        <w:tc>
          <w:tcPr>
            <w:tcW w:w="964" w:type="dxa"/>
            <w:vAlign w:val="center"/>
          </w:tcPr>
          <w:p>
            <w:pPr>
              <w:pStyle w:val="17"/>
              <w:rPr>
                <w:rFonts w:hint="default" w:eastAsia="方正书宋_GBK"/>
                <w:lang w:val="en-US" w:eastAsia="zh-CN"/>
              </w:rPr>
            </w:pPr>
            <w:r>
              <w:rPr>
                <w:rFonts w:hint="eastAsia"/>
                <w:lang w:val="en-US" w:eastAsia="zh-CN"/>
              </w:rPr>
              <w:t>299.65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299.65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rPr>
                <w:rFonts w:hint="eastAsia" w:eastAsia="方正书宋_GBK"/>
                <w:lang w:eastAsia="zh-CN"/>
              </w:rPr>
            </w:pPr>
            <w:r>
              <w:rPr>
                <w:rFonts w:hint="eastAsia"/>
                <w:lang w:val="en-US" w:eastAsia="zh-CN"/>
              </w:rPr>
              <w:t>1</w:t>
            </w:r>
          </w:p>
        </w:tc>
        <w:tc>
          <w:tcPr>
            <w:tcW w:w="964" w:type="dxa"/>
            <w:vAlign w:val="center"/>
          </w:tcPr>
          <w:p>
            <w:pPr>
              <w:pStyle w:val="17"/>
            </w:pPr>
          </w:p>
        </w:tc>
        <w:tc>
          <w:tcPr>
            <w:tcW w:w="1134" w:type="dxa"/>
            <w:vAlign w:val="center"/>
          </w:tcPr>
          <w:p>
            <w:pPr>
              <w:pStyle w:val="18"/>
            </w:pPr>
            <w:r>
              <w:rPr>
                <w:rFonts w:hint="eastAsia" w:ascii="方正书宋_GBK" w:hAnsi="方正书宋_GBK" w:eastAsia="方正书宋_GBK" w:cs="方正书宋_GBK"/>
                <w:b w:val="0"/>
                <w:kern w:val="0"/>
                <w:sz w:val="21"/>
                <w:szCs w:val="24"/>
                <w:lang w:val="en-US" w:eastAsia="uk-UA" w:bidi="ar-SA"/>
              </w:rPr>
              <w:t>皇庄镇供暖季使用液化天然气(LNG)项目</w:t>
            </w: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47.13</w:t>
            </w:r>
          </w:p>
        </w:tc>
        <w:tc>
          <w:tcPr>
            <w:tcW w:w="964" w:type="dxa"/>
            <w:vAlign w:val="center"/>
          </w:tcPr>
          <w:p>
            <w:pPr>
              <w:pStyle w:val="17"/>
              <w:rPr>
                <w:rFonts w:hint="default" w:eastAsia="方正书宋_GBK"/>
                <w:lang w:val="en-US" w:eastAsia="zh-CN"/>
              </w:rPr>
            </w:pPr>
            <w:r>
              <w:rPr>
                <w:rFonts w:hint="eastAsia"/>
                <w:lang w:val="en-US" w:eastAsia="zh-CN"/>
              </w:rPr>
              <w:t>47.13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2</w:t>
            </w:r>
          </w:p>
        </w:tc>
        <w:tc>
          <w:tcPr>
            <w:tcW w:w="964" w:type="dxa"/>
            <w:vAlign w:val="center"/>
          </w:tcPr>
          <w:p>
            <w:pPr>
              <w:pStyle w:val="13"/>
            </w:pPr>
          </w:p>
        </w:tc>
        <w:tc>
          <w:tcPr>
            <w:tcW w:w="1134" w:type="dxa"/>
            <w:vAlign w:val="center"/>
          </w:tcPr>
          <w:p>
            <w:pPr>
              <w:pStyle w:val="14"/>
            </w:pPr>
            <w:r>
              <w:rPr>
                <w:rFonts w:hint="eastAsia"/>
              </w:rPr>
              <w:t>皇庄镇公共用车采购项目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47.88</w:t>
            </w:r>
          </w:p>
        </w:tc>
        <w:tc>
          <w:tcPr>
            <w:tcW w:w="964" w:type="dxa"/>
            <w:vAlign w:val="center"/>
          </w:tcPr>
          <w:p>
            <w:pPr>
              <w:pStyle w:val="13"/>
              <w:rPr>
                <w:rFonts w:hint="default" w:eastAsia="方正书宋_GBK"/>
                <w:lang w:val="en-US" w:eastAsia="zh-CN"/>
              </w:rPr>
            </w:pPr>
            <w:r>
              <w:rPr>
                <w:rFonts w:hint="eastAsia"/>
                <w:lang w:val="en-US" w:eastAsia="zh-CN"/>
              </w:rPr>
              <w:t>47.88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3</w:t>
            </w:r>
          </w:p>
        </w:tc>
        <w:tc>
          <w:tcPr>
            <w:tcW w:w="964" w:type="dxa"/>
            <w:vAlign w:val="center"/>
          </w:tcPr>
          <w:p>
            <w:pPr>
              <w:pStyle w:val="13"/>
            </w:pPr>
          </w:p>
        </w:tc>
        <w:tc>
          <w:tcPr>
            <w:tcW w:w="1134" w:type="dxa"/>
            <w:vAlign w:val="center"/>
          </w:tcPr>
          <w:p>
            <w:pPr>
              <w:pStyle w:val="14"/>
            </w:pPr>
            <w:r>
              <w:rPr>
                <w:rFonts w:hint="eastAsia"/>
              </w:rPr>
              <w:t>营林管护工程项目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104.64</w:t>
            </w:r>
          </w:p>
        </w:tc>
        <w:tc>
          <w:tcPr>
            <w:tcW w:w="964" w:type="dxa"/>
            <w:vAlign w:val="center"/>
          </w:tcPr>
          <w:p>
            <w:pPr>
              <w:pStyle w:val="13"/>
              <w:rPr>
                <w:rFonts w:hint="default" w:eastAsia="方正书宋_GBK"/>
                <w:lang w:val="en-US" w:eastAsia="zh-CN"/>
              </w:rPr>
            </w:pPr>
            <w:r>
              <w:rPr>
                <w:rFonts w:hint="eastAsia"/>
                <w:lang w:val="en-US" w:eastAsia="zh-CN"/>
              </w:rPr>
              <w:t>104.64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4</w:t>
            </w:r>
          </w:p>
        </w:tc>
        <w:tc>
          <w:tcPr>
            <w:tcW w:w="964" w:type="dxa"/>
            <w:vAlign w:val="center"/>
          </w:tcPr>
          <w:p>
            <w:pPr>
              <w:pStyle w:val="13"/>
            </w:pPr>
          </w:p>
        </w:tc>
        <w:tc>
          <w:tcPr>
            <w:tcW w:w="1134" w:type="dxa"/>
            <w:vAlign w:val="center"/>
          </w:tcPr>
          <w:p>
            <w:pPr>
              <w:pStyle w:val="14"/>
              <w:rPr>
                <w:b/>
                <w:bCs/>
              </w:rPr>
            </w:pPr>
            <w:r>
              <w:rPr>
                <w:rFonts w:hint="eastAsia"/>
              </w:rPr>
              <w:t>规划设计采购项目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100</w:t>
            </w:r>
          </w:p>
        </w:tc>
        <w:tc>
          <w:tcPr>
            <w:tcW w:w="964" w:type="dxa"/>
            <w:vAlign w:val="center"/>
          </w:tcPr>
          <w:p>
            <w:pPr>
              <w:pStyle w:val="13"/>
              <w:rPr>
                <w:rFonts w:hint="default" w:eastAsia="方正书宋_GBK"/>
                <w:lang w:val="en-US" w:eastAsia="zh-CN"/>
              </w:rPr>
            </w:pPr>
            <w:r>
              <w:rPr>
                <w:rFonts w:hint="eastAsia"/>
                <w:lang w:val="en-US" w:eastAsia="zh-CN"/>
              </w:rP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14684.358024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皇庄镇人民政府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14684.358024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7102.50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486.560587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bookmarkStart w:id="3" w:name="_GoBack"/>
            <w:bookmarkEnd w:id="3"/>
            <w:r>
              <w:rPr>
                <w:rFonts w:hint="eastAsia" w:ascii="Times New Roman" w:hAnsi="Times New Roman" w:eastAsia="仿宋_GB2312" w:cs="Times New Roman"/>
                <w:sz w:val="22"/>
                <w:lang w:val="en-US" w:eastAsia="zh-CN"/>
              </w:rPr>
              <w:t>460.7210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170.962309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13506.9893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519.845828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D347CC"/>
    <w:rsid w:val="000230E6"/>
    <w:rsid w:val="000E5891"/>
    <w:rsid w:val="0025632D"/>
    <w:rsid w:val="004A54AA"/>
    <w:rsid w:val="005A2FBD"/>
    <w:rsid w:val="00875CF4"/>
    <w:rsid w:val="00944233"/>
    <w:rsid w:val="00B40732"/>
    <w:rsid w:val="00B80935"/>
    <w:rsid w:val="00D347CC"/>
    <w:rsid w:val="05321713"/>
    <w:rsid w:val="0C946333"/>
    <w:rsid w:val="1A7976F7"/>
    <w:rsid w:val="26071CD7"/>
    <w:rsid w:val="2F85747F"/>
    <w:rsid w:val="330652EB"/>
    <w:rsid w:val="395B4438"/>
    <w:rsid w:val="3AFD2A1C"/>
    <w:rsid w:val="3B81141B"/>
    <w:rsid w:val="3D247D88"/>
    <w:rsid w:val="40D86FBD"/>
    <w:rsid w:val="496C0429"/>
    <w:rsid w:val="53BF3BE5"/>
    <w:rsid w:val="56983779"/>
    <w:rsid w:val="58393836"/>
    <w:rsid w:val="63A27DB0"/>
    <w:rsid w:val="67CA4B1A"/>
    <w:rsid w:val="67D40D43"/>
    <w:rsid w:val="6C087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1">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13</TotalTime>
  <ScaleCrop>false</ScaleCrop>
  <LinksUpToDate>false</LinksUpToDate>
  <CharactersWithSpaces>3370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XF永成</cp:lastModifiedBy>
  <cp:lastPrinted>2018-01-30T06:12:00Z</cp:lastPrinted>
  <dcterms:modified xsi:type="dcterms:W3CDTF">2023-10-09T12:02:44Z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2A861E5950424A5E91A43F11BCF28BE5</vt:lpwstr>
  </property>
</Properties>
</file>